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5436234</wp:posOffset>
            </wp:positionH>
            <wp:positionV relativeFrom="page">
              <wp:posOffset>9765029</wp:posOffset>
            </wp:positionV>
            <wp:extent cx="1590071" cy="31818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71" cy="318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47A2F"/>
          <w:spacing w:val="-2"/>
        </w:rPr>
        <w:t>APPLICANT</w:t>
      </w:r>
      <w:r>
        <w:rPr>
          <w:b/>
          <w:color w:val="F47A2F"/>
          <w:spacing w:val="-36"/>
        </w:rPr>
        <w:t> </w:t>
      </w:r>
      <w:r>
        <w:rPr>
          <w:b/>
          <w:color w:val="F47A2F"/>
          <w:spacing w:val="-2"/>
        </w:rPr>
        <w:t>INFORMATION PACKAGE</w:t>
      </w: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rPr>
          <w:rFonts w:ascii="Lato Semibold"/>
          <w:b/>
          <w:sz w:val="20"/>
        </w:rPr>
      </w:pPr>
    </w:p>
    <w:p>
      <w:pPr>
        <w:pStyle w:val="BodyText"/>
        <w:spacing w:before="7"/>
        <w:rPr>
          <w:rFonts w:ascii="Lato Semibold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486155</wp:posOffset>
                </wp:positionH>
                <wp:positionV relativeFrom="paragraph">
                  <wp:posOffset>202945</wp:posOffset>
                </wp:positionV>
                <wp:extent cx="6590030" cy="55054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90030" cy="5505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8" w:right="0" w:firstLine="0"/>
                              <w:jc w:val="left"/>
                              <w:rPr>
                                <w:rFonts w:ascii="Lato Semibold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2"/>
                                <w:sz w:val="36"/>
                              </w:rPr>
                              <w:t>NORTHERN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2"/>
                                <w:sz w:val="36"/>
                              </w:rPr>
                              <w:t>TERRITORY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1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2"/>
                                <w:sz w:val="36"/>
                              </w:rPr>
                              <w:t>ENVIRONMENT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pacing w:val="-2"/>
                                <w:sz w:val="36"/>
                              </w:rPr>
                              <w:t>PROTECTION </w:t>
                            </w:r>
                            <w:r>
                              <w:rPr>
                                <w:rFonts w:ascii="Lato Semibold"/>
                                <w:b/>
                                <w:color w:val="C43328"/>
                                <w:sz w:val="36"/>
                              </w:rPr>
                              <w:t>AUTHORITY MEMBERS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79999pt;margin-top:15.98pt;width:518.9pt;height:43.35pt;mso-position-horizontal-relative:page;mso-position-vertical-relative:paragraph;z-index:-15728640;mso-wrap-distance-left:0;mso-wrap-distance-right:0" type="#_x0000_t202" id="docshape2" filled="true" fillcolor="#f1f1f1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rFonts w:ascii="Lato Semibold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Lato Semibold"/>
                          <w:b/>
                          <w:color w:val="C43328"/>
                          <w:spacing w:val="-2"/>
                          <w:sz w:val="36"/>
                        </w:rPr>
                        <w:t>NORTHERN</w:t>
                      </w:r>
                      <w:r>
                        <w:rPr>
                          <w:rFonts w:ascii="Lato Semibold"/>
                          <w:b/>
                          <w:color w:val="C43328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color w:val="C43328"/>
                          <w:spacing w:val="-2"/>
                          <w:sz w:val="36"/>
                        </w:rPr>
                        <w:t>TERRITORY</w:t>
                      </w:r>
                      <w:r>
                        <w:rPr>
                          <w:rFonts w:ascii="Lato Semibold"/>
                          <w:b/>
                          <w:color w:val="C43328"/>
                          <w:spacing w:val="-19"/>
                          <w:sz w:val="36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color w:val="C43328"/>
                          <w:spacing w:val="-2"/>
                          <w:sz w:val="36"/>
                        </w:rPr>
                        <w:t>ENVIRONMENT</w:t>
                      </w:r>
                      <w:r>
                        <w:rPr>
                          <w:rFonts w:ascii="Lato Semibold"/>
                          <w:b/>
                          <w:color w:val="C43328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rFonts w:ascii="Lato Semibold"/>
                          <w:b/>
                          <w:color w:val="C43328"/>
                          <w:spacing w:val="-2"/>
                          <w:sz w:val="36"/>
                        </w:rPr>
                        <w:t>PROTECTION </w:t>
                      </w:r>
                      <w:r>
                        <w:rPr>
                          <w:rFonts w:ascii="Lato Semibold"/>
                          <w:b/>
                          <w:color w:val="C43328"/>
                          <w:sz w:val="36"/>
                        </w:rPr>
                        <w:t>AUTHORITY MEMBERS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Lato Semibold"/>
          <w:b/>
          <w:sz w:val="8"/>
        </w:rPr>
      </w:pPr>
    </w:p>
    <w:p>
      <w:pPr>
        <w:pStyle w:val="BodyText"/>
        <w:spacing w:before="101"/>
        <w:ind w:left="134" w:right="409"/>
        <w:jc w:val="both"/>
      </w:pPr>
      <w:r>
        <w:rPr/>
        <w:t>The</w:t>
      </w:r>
      <w:r>
        <w:rPr>
          <w:spacing w:val="-13"/>
        </w:rPr>
        <w:t> </w:t>
      </w:r>
      <w:r>
        <w:rPr/>
        <w:t>Northern</w:t>
      </w:r>
      <w:r>
        <w:rPr>
          <w:spacing w:val="-14"/>
        </w:rPr>
        <w:t> </w:t>
      </w:r>
      <w:r>
        <w:rPr/>
        <w:t>Territory</w:t>
      </w:r>
      <w:r>
        <w:rPr>
          <w:spacing w:val="-12"/>
        </w:rPr>
        <w:t> </w:t>
      </w:r>
      <w:r>
        <w:rPr/>
        <w:t>Environment</w:t>
      </w:r>
      <w:r>
        <w:rPr>
          <w:spacing w:val="-12"/>
        </w:rPr>
        <w:t> </w:t>
      </w:r>
      <w:r>
        <w:rPr/>
        <w:t>Protection</w:t>
      </w:r>
      <w:r>
        <w:rPr>
          <w:spacing w:val="-15"/>
        </w:rPr>
        <w:t> </w:t>
      </w:r>
      <w:r>
        <w:rPr/>
        <w:t>Authority</w:t>
      </w:r>
      <w:r>
        <w:rPr>
          <w:spacing w:val="-12"/>
        </w:rPr>
        <w:t> </w:t>
      </w:r>
      <w:r>
        <w:rPr/>
        <w:t>(NT</w:t>
      </w:r>
      <w:r>
        <w:rPr>
          <w:spacing w:val="-15"/>
        </w:rPr>
        <w:t> </w:t>
      </w:r>
      <w:r>
        <w:rPr/>
        <w:t>EPA)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independent</w:t>
      </w:r>
      <w:r>
        <w:rPr>
          <w:spacing w:val="-13"/>
        </w:rPr>
        <w:t> </w:t>
      </w:r>
      <w:r>
        <w:rPr/>
        <w:t>statutory</w:t>
      </w:r>
      <w:r>
        <w:rPr>
          <w:spacing w:val="-13"/>
        </w:rPr>
        <w:t> </w:t>
      </w:r>
      <w:r>
        <w:rPr/>
        <w:t>authority that provides advice to Government on the environmental acceptability of significant development proposals; undertakes regulatory activities to encourage effective waste management, pollution control and sustainable practices; and provides advice to the Northern Territory Government on a range of environmental policy matters. It is supported in its work by the Department of Environment, Parks and Water Security.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4" w:right="226"/>
      </w:pPr>
      <w:r>
        <w:rPr/>
        <w:t>Expressions of interests</w:t>
      </w:r>
      <w:r>
        <w:rPr>
          <w:spacing w:val="-1"/>
        </w:rPr>
        <w:t> </w:t>
      </w:r>
      <w:r>
        <w:rPr/>
        <w:t>are invited from</w:t>
      </w:r>
      <w:r>
        <w:rPr>
          <w:spacing w:val="-1"/>
        </w:rPr>
        <w:t> </w:t>
      </w:r>
      <w:r>
        <w:rPr/>
        <w:t>persons interested in joining the NT EPA. One vacancy is</w:t>
      </w:r>
      <w:r>
        <w:rPr>
          <w:spacing w:val="-1"/>
        </w:rPr>
        <w:t> </w:t>
      </w:r>
      <w:r>
        <w:rPr/>
        <w:t>open for appointment, commencing in the first quarter of 2024 for a period of up to 3 years.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4"/>
        <w:rPr>
          <w:rFonts w:ascii="Arial"/>
        </w:rPr>
      </w:pPr>
      <w:r>
        <w:rPr>
          <w:rFonts w:ascii="Arial"/>
        </w:rPr>
        <w:t>To</w:t>
      </w:r>
      <w:r>
        <w:rPr>
          <w:rFonts w:ascii="Arial"/>
          <w:spacing w:val="-7"/>
        </w:rPr>
        <w:t> </w:t>
      </w:r>
      <w:r>
        <w:rPr>
          <w:rFonts w:ascii="Arial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</w:rPr>
        <w:t>considered,</w:t>
      </w:r>
      <w:r>
        <w:rPr>
          <w:rFonts w:ascii="Arial"/>
          <w:spacing w:val="-5"/>
        </w:rPr>
        <w:t> </w:t>
      </w:r>
      <w:r>
        <w:rPr>
          <w:rFonts w:ascii="Arial"/>
        </w:rPr>
        <w:t>you</w:t>
      </w:r>
      <w:r>
        <w:rPr>
          <w:rFonts w:ascii="Arial"/>
          <w:spacing w:val="-4"/>
        </w:rPr>
        <w:t> </w:t>
      </w:r>
      <w:r>
        <w:rPr>
          <w:rFonts w:ascii="Arial"/>
        </w:rPr>
        <w:t>will</w:t>
      </w:r>
      <w:r>
        <w:rPr>
          <w:rFonts w:ascii="Arial"/>
          <w:spacing w:val="-4"/>
        </w:rPr>
        <w:t> </w:t>
      </w:r>
      <w:r>
        <w:rPr>
          <w:rFonts w:ascii="Arial"/>
        </w:rPr>
        <w:t>have</w:t>
      </w:r>
      <w:r>
        <w:rPr>
          <w:rFonts w:ascii="Arial"/>
          <w:spacing w:val="-5"/>
        </w:rPr>
        <w:t> </w:t>
      </w:r>
      <w:r>
        <w:rPr>
          <w:rFonts w:ascii="Arial"/>
        </w:rPr>
        <w:t>skills,</w:t>
      </w:r>
      <w:r>
        <w:rPr>
          <w:rFonts w:ascii="Arial"/>
          <w:spacing w:val="-5"/>
        </w:rPr>
        <w:t> </w:t>
      </w:r>
      <w:r>
        <w:rPr>
          <w:rFonts w:ascii="Arial"/>
        </w:rPr>
        <w:t>knowledge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experience</w:t>
      </w:r>
      <w:r>
        <w:rPr>
          <w:rFonts w:ascii="Arial"/>
          <w:spacing w:val="-5"/>
        </w:rPr>
        <w:t> </w:t>
      </w:r>
      <w:r>
        <w:rPr>
          <w:rFonts w:ascii="Arial"/>
        </w:rPr>
        <w:t>in</w:t>
      </w:r>
      <w:r>
        <w:rPr>
          <w:rFonts w:ascii="Arial"/>
          <w:spacing w:val="-4"/>
        </w:rPr>
        <w:t> </w:t>
      </w:r>
      <w:r>
        <w:rPr>
          <w:rFonts w:ascii="Arial"/>
        </w:rPr>
        <w:t>one</w:t>
      </w:r>
      <w:r>
        <w:rPr>
          <w:rFonts w:ascii="Arial"/>
          <w:spacing w:val="-4"/>
        </w:rPr>
        <w:t> </w:t>
      </w:r>
      <w:r>
        <w:rPr>
          <w:rFonts w:ascii="Arial"/>
        </w:rPr>
        <w:t>or</w:t>
      </w:r>
      <w:r>
        <w:rPr>
          <w:rFonts w:ascii="Arial"/>
          <w:spacing w:val="-5"/>
        </w:rPr>
        <w:t> </w:t>
      </w:r>
      <w:r>
        <w:rPr>
          <w:rFonts w:ascii="Arial"/>
        </w:rPr>
        <w:t>more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areas: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3" w:after="0"/>
        <w:ind w:left="701" w:right="0" w:hanging="361"/>
        <w:jc w:val="left"/>
        <w:rPr>
          <w:sz w:val="22"/>
        </w:rPr>
      </w:pPr>
      <w:r>
        <w:rPr>
          <w:sz w:val="22"/>
        </w:rPr>
        <w:t>environmental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environmental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natural</w:t>
      </w:r>
      <w:r>
        <w:rPr>
          <w:spacing w:val="-4"/>
          <w:sz w:val="22"/>
        </w:rPr>
        <w:t> </w:t>
      </w:r>
      <w:r>
        <w:rPr>
          <w:sz w:val="22"/>
        </w:rPr>
        <w:t>resource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9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pollution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economic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analysis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analysis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9" w:lineRule="exact" w:before="0" w:after="0"/>
        <w:ind w:left="701" w:right="0" w:hanging="361"/>
        <w:jc w:val="left"/>
        <w:rPr>
          <w:sz w:val="22"/>
        </w:rPr>
      </w:pPr>
      <w:r>
        <w:rPr>
          <w:spacing w:val="-2"/>
          <w:sz w:val="22"/>
        </w:rPr>
        <w:t>business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environmental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law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regulatory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field.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4" w:right="226"/>
        <w:rPr>
          <w:rFonts w:ascii="Arial"/>
        </w:rPr>
      </w:pPr>
      <w:r>
        <w:rPr>
          <w:rFonts w:ascii="Arial"/>
        </w:rPr>
        <w:t>Ideally, you will also demonstrate extensive board experience in a similar field. Experience in regional areas and issues, Indigenous issues and/or working with the community is also desirable.</w:t>
      </w:r>
    </w:p>
    <w:p>
      <w:pPr>
        <w:pStyle w:val="BodyText"/>
        <w:spacing w:before="1"/>
        <w:rPr>
          <w:rFonts w:ascii="Arial"/>
          <w:sz w:val="23"/>
        </w:rPr>
      </w:pPr>
    </w:p>
    <w:p>
      <w:pPr>
        <w:pStyle w:val="BodyText"/>
        <w:ind w:left="134"/>
      </w:pPr>
      <w:r>
        <w:rPr/>
        <w:t>Merit</w:t>
      </w:r>
      <w:r>
        <w:rPr>
          <w:spacing w:val="-4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applied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selection</w:t>
      </w:r>
      <w:r>
        <w:rPr>
          <w:spacing w:val="-5"/>
        </w:rPr>
        <w:t> </w:t>
      </w:r>
      <w:r>
        <w:rPr>
          <w:spacing w:val="-2"/>
        </w:rPr>
        <w:t>process.</w:t>
      </w:r>
    </w:p>
    <w:p>
      <w:pPr>
        <w:pStyle w:val="BodyText"/>
      </w:pPr>
    </w:p>
    <w:p>
      <w:pPr>
        <w:pStyle w:val="BodyText"/>
        <w:ind w:left="13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ineligible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appointed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member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NT</w:t>
      </w:r>
      <w:r>
        <w:rPr>
          <w:spacing w:val="-5"/>
        </w:rPr>
        <w:t> </w:t>
      </w:r>
      <w:r>
        <w:rPr/>
        <w:t>EPA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person: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9" w:lineRule="exact" w:before="1" w:after="0"/>
        <w:ind w:left="701" w:right="0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physically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mentally</w:t>
      </w:r>
      <w:r>
        <w:rPr>
          <w:spacing w:val="-6"/>
          <w:sz w:val="22"/>
        </w:rPr>
        <w:t> </w:t>
      </w:r>
      <w:r>
        <w:rPr>
          <w:sz w:val="22"/>
        </w:rPr>
        <w:t>unable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satisfactorily</w:t>
      </w:r>
      <w:r>
        <w:rPr>
          <w:spacing w:val="-5"/>
          <w:sz w:val="22"/>
        </w:rPr>
        <w:t> </w:t>
      </w:r>
      <w:r>
        <w:rPr>
          <w:sz w:val="22"/>
        </w:rPr>
        <w:t>perform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duties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office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guilty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offence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deemed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inappropriate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bankrupt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9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sector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employee.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4" w:right="226"/>
      </w:pPr>
      <w:r>
        <w:rPr/>
        <w:t>In addition, elected members of a Commonwealth, State or Territory Parliament, or local government</w:t>
      </w:r>
      <w:r>
        <w:rPr>
          <w:spacing w:val="80"/>
        </w:rPr>
        <w:t> </w:t>
      </w:r>
      <w:r>
        <w:rPr/>
        <w:t>council will not be appointed to the NT EPA.</w:t>
      </w:r>
    </w:p>
    <w:p>
      <w:pPr>
        <w:pStyle w:val="BodyText"/>
        <w:spacing w:before="1"/>
      </w:pPr>
    </w:p>
    <w:p>
      <w:pPr>
        <w:pStyle w:val="BodyText"/>
        <w:ind w:left="134" w:right="226"/>
      </w:pPr>
      <w:r>
        <w:rPr/>
        <w:t>Prior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appointment,</w:t>
      </w:r>
      <w:r>
        <w:rPr>
          <w:spacing w:val="-10"/>
        </w:rPr>
        <w:t> </w:t>
      </w:r>
      <w:r>
        <w:rPr/>
        <w:t>successful</w:t>
      </w:r>
      <w:r>
        <w:rPr>
          <w:spacing w:val="-9"/>
        </w:rPr>
        <w:t> </w:t>
      </w:r>
      <w:r>
        <w:rPr/>
        <w:t>candidates</w:t>
      </w:r>
      <w:r>
        <w:rPr>
          <w:spacing w:val="-9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/>
        <w:t>requested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sign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declaration</w:t>
      </w:r>
      <w:r>
        <w:rPr>
          <w:spacing w:val="-8"/>
        </w:rPr>
        <w:t> </w:t>
      </w:r>
      <w:r>
        <w:rPr/>
        <w:t>that</w:t>
      </w:r>
      <w:r>
        <w:rPr>
          <w:spacing w:val="-12"/>
        </w:rPr>
        <w:t> </w:t>
      </w:r>
      <w:r>
        <w:rPr/>
        <w:t>states</w:t>
      </w:r>
      <w:r>
        <w:rPr>
          <w:spacing w:val="-9"/>
        </w:rPr>
        <w:t> </w:t>
      </w:r>
      <w:r>
        <w:rPr/>
        <w:t>they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not have any issues which renders them unsuitable for membership to the NT EPA.</w:t>
      </w:r>
    </w:p>
    <w:p>
      <w:pPr>
        <w:pStyle w:val="BodyText"/>
      </w:pPr>
    </w:p>
    <w:p>
      <w:pPr>
        <w:pStyle w:val="BodyText"/>
        <w:ind w:left="134" w:right="226"/>
      </w:pPr>
      <w:r>
        <w:rPr/>
        <w:t>Community and business groups are encouraged to nominate potential candidates; however successful candidates</w:t>
      </w:r>
      <w:r>
        <w:rPr>
          <w:spacing w:val="8"/>
        </w:rPr>
        <w:t> </w:t>
      </w:r>
      <w:r>
        <w:rPr/>
        <w:t>are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aware</w:t>
      </w:r>
      <w:r>
        <w:rPr>
          <w:spacing w:val="11"/>
        </w:rPr>
        <w:t> </w:t>
      </w:r>
      <w:r>
        <w:rPr/>
        <w:t>that</w:t>
      </w:r>
      <w:r>
        <w:rPr>
          <w:spacing w:val="8"/>
        </w:rPr>
        <w:t> </w:t>
      </w:r>
      <w:r>
        <w:rPr/>
        <w:t>participation</w:t>
      </w:r>
      <w:r>
        <w:rPr>
          <w:spacing w:val="10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NT</w:t>
      </w:r>
      <w:r>
        <w:rPr>
          <w:spacing w:val="10"/>
        </w:rPr>
        <w:t> </w:t>
      </w:r>
      <w:r>
        <w:rPr/>
        <w:t>EPA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/>
        <w:t>independent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membership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5"/>
        </w:rPr>
        <w:t>any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504444</wp:posOffset>
                </wp:positionH>
                <wp:positionV relativeFrom="paragraph">
                  <wp:posOffset>151130</wp:posOffset>
                </wp:positionV>
                <wp:extent cx="655320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5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6350">
                              <a:moveTo>
                                <a:pt x="6552806" y="0"/>
                              </a:moveTo>
                              <a:lnTo>
                                <a:pt x="4938649" y="0"/>
                              </a:lnTo>
                              <a:lnTo>
                                <a:pt x="493255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2553" y="6096"/>
                              </a:lnTo>
                              <a:lnTo>
                                <a:pt x="4938649" y="6096"/>
                              </a:lnTo>
                              <a:lnTo>
                                <a:pt x="6552806" y="6096"/>
                              </a:lnTo>
                              <a:lnTo>
                                <a:pt x="6552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20001pt;margin-top:11.900035pt;width:516pt;height:.5pt;mso-position-horizontal-relative:page;mso-position-vertical-relative:paragraph;z-index:-15728128;mso-wrap-distance-left:0;mso-wrap-distance-right:0" id="docshape3" coordorigin="794,238" coordsize="10320,10" path="m11114,238l8572,238,8562,238,794,238,794,248,8562,248,8572,248,11114,248,11114,23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footer="1072" w:header="0" w:top="700" w:bottom="1260" w:left="660" w:right="660"/>
          <w:pgNumType w:start="1"/>
        </w:sectPr>
      </w:pPr>
    </w:p>
    <w:p>
      <w:pPr>
        <w:pStyle w:val="BodyText"/>
        <w:spacing w:before="75"/>
        <w:ind w:left="6591"/>
      </w:pPr>
      <w:r>
        <w:rPr/>
        <w:t>APPLICANT</w:t>
      </w:r>
      <w:r>
        <w:rPr>
          <w:spacing w:val="-9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2"/>
        </w:rPr>
        <w:t>PACKAGE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34" w:right="410"/>
        <w:jc w:val="both"/>
      </w:pPr>
      <w:r>
        <w:rPr/>
        <w:t>group. For</w:t>
      </w:r>
      <w:r>
        <w:rPr>
          <w:spacing w:val="-1"/>
        </w:rPr>
        <w:t> </w:t>
      </w:r>
      <w:r>
        <w:rPr/>
        <w:t>further information refer</w:t>
      </w:r>
      <w:r>
        <w:rPr>
          <w:spacing w:val="-1"/>
        </w:rPr>
        <w:t> </w:t>
      </w:r>
      <w:r>
        <w:rPr/>
        <w:t>to the Northern Territory Government</w:t>
      </w:r>
      <w:r>
        <w:rPr>
          <w:spacing w:val="-1"/>
        </w:rPr>
        <w:t> </w:t>
      </w:r>
      <w:r>
        <w:rPr/>
        <w:t>Boards Handbook –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guide for board members and administrators of the Northern Territory Government boards and committees (2022) available:</w:t>
      </w:r>
    </w:p>
    <w:p>
      <w:pPr>
        <w:pStyle w:val="BodyText"/>
        <w:ind w:left="134"/>
        <w:jc w:val="both"/>
      </w:pPr>
      <w:hyperlink r:id="rId7">
        <w:r>
          <w:rPr>
            <w:color w:val="0000FF"/>
            <w:u w:val="single" w:color="0000FF"/>
          </w:rPr>
          <w:t>NT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Government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boards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committees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Department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Chief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Minister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> Cabinet</w:t>
        </w:r>
        <w:r>
          <w:rPr>
            <w:spacing w:val="-2"/>
          </w:rPr>
          <w:t>.</w:t>
        </w:r>
      </w:hyperlink>
    </w:p>
    <w:p>
      <w:pPr>
        <w:pStyle w:val="BodyText"/>
      </w:pPr>
    </w:p>
    <w:p>
      <w:pPr>
        <w:pStyle w:val="BodyText"/>
        <w:ind w:left="134"/>
      </w:pPr>
      <w:r>
        <w:rPr/>
        <w:t>Membership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NT</w:t>
      </w:r>
      <w:r>
        <w:rPr>
          <w:spacing w:val="-3"/>
        </w:rPr>
        <w:t> </w:t>
      </w:r>
      <w:r>
        <w:rPr/>
        <w:t>EPA</w:t>
      </w:r>
      <w:r>
        <w:rPr>
          <w:spacing w:val="-3"/>
        </w:rPr>
        <w:t> </w:t>
      </w:r>
      <w:r>
        <w:rPr>
          <w:spacing w:val="-2"/>
        </w:rPr>
        <w:t>comprises: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1" w:after="0"/>
        <w:ind w:left="701" w:right="0" w:hanging="361"/>
        <w:jc w:val="left"/>
        <w:rPr>
          <w:sz w:val="22"/>
        </w:rPr>
      </w:pPr>
      <w:r>
        <w:rPr>
          <w:sz w:val="22"/>
        </w:rPr>
        <w:t>the </w:t>
      </w:r>
      <w:r>
        <w:rPr>
          <w:spacing w:val="-2"/>
          <w:sz w:val="22"/>
        </w:rPr>
        <w:t>Chairperson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8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Chairperson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Northern</w:t>
      </w:r>
      <w:r>
        <w:rPr>
          <w:spacing w:val="-4"/>
          <w:sz w:val="22"/>
        </w:rPr>
        <w:t> </w:t>
      </w:r>
      <w:r>
        <w:rPr>
          <w:sz w:val="22"/>
        </w:rPr>
        <w:t>Territory</w:t>
      </w:r>
      <w:r>
        <w:rPr>
          <w:spacing w:val="-4"/>
          <w:sz w:val="22"/>
        </w:rPr>
        <w:t> </w:t>
      </w:r>
      <w:r>
        <w:rPr>
          <w:sz w:val="22"/>
        </w:rPr>
        <w:t>Planning </w:t>
      </w:r>
      <w:r>
        <w:rPr>
          <w:spacing w:val="-2"/>
          <w:sz w:val="22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69" w:lineRule="exact" w:before="0" w:after="0"/>
        <w:ind w:left="701" w:right="0" w:hanging="361"/>
        <w:jc w:val="left"/>
        <w:rPr>
          <w:sz w:val="22"/>
        </w:rPr>
      </w:pP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appropriate</w:t>
      </w:r>
      <w:r>
        <w:rPr>
          <w:spacing w:val="-5"/>
          <w:sz w:val="22"/>
        </w:rPr>
        <w:t> </w:t>
      </w:r>
      <w:r>
        <w:rPr>
          <w:sz w:val="22"/>
        </w:rPr>
        <w:t>qualifications,</w:t>
      </w:r>
      <w:r>
        <w:rPr>
          <w:spacing w:val="-6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expertise.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4" w:right="411"/>
        <w:jc w:val="both"/>
      </w:pPr>
      <w:r>
        <w:rPr/>
        <w:t>The NT EPA meets 12 times a year (once a month) combining face to face meetings predominantly in Darwin and via video conferencing. Candidates are advised the work load will approximate to 55 days a </w:t>
      </w:r>
      <w:r>
        <w:rPr>
          <w:spacing w:val="-2"/>
        </w:rPr>
        <w:t>year.</w:t>
      </w:r>
    </w:p>
    <w:p>
      <w:pPr>
        <w:pStyle w:val="BodyText"/>
      </w:pPr>
    </w:p>
    <w:p>
      <w:pPr>
        <w:pStyle w:val="BodyText"/>
        <w:ind w:left="134" w:right="411"/>
        <w:jc w:val="both"/>
      </w:pPr>
      <w:r>
        <w:rPr/>
        <w:t>Successful</w:t>
      </w:r>
      <w:r>
        <w:rPr>
          <w:spacing w:val="-3"/>
        </w:rPr>
        <w:t> </w:t>
      </w:r>
      <w:r>
        <w:rPr/>
        <w:t>candidates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remuneration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$50</w:t>
      </w:r>
      <w:r>
        <w:rPr>
          <w:spacing w:val="-2"/>
        </w:rPr>
        <w:t> </w:t>
      </w:r>
      <w:r>
        <w:rPr/>
        <w:t>000</w:t>
      </w:r>
      <w:r>
        <w:rPr>
          <w:spacing w:val="-4"/>
        </w:rPr>
        <w:t> </w:t>
      </w:r>
      <w:r>
        <w:rPr/>
        <w:t>before</w:t>
      </w:r>
      <w:r>
        <w:rPr>
          <w:spacing w:val="-1"/>
        </w:rPr>
        <w:t> </w:t>
      </w:r>
      <w:r>
        <w:rPr/>
        <w:t>tax</w:t>
      </w:r>
      <w:r>
        <w:rPr>
          <w:spacing w:val="-3"/>
        </w:rPr>
        <w:t> </w:t>
      </w:r>
      <w:r>
        <w:rPr/>
        <w:t>plus</w:t>
      </w:r>
      <w:r>
        <w:rPr>
          <w:spacing w:val="-3"/>
        </w:rPr>
        <w:t> </w:t>
      </w:r>
      <w:r>
        <w:rPr/>
        <w:t>superannuation</w:t>
      </w:r>
      <w:r>
        <w:rPr>
          <w:spacing w:val="-2"/>
        </w:rPr>
        <w:t> </w:t>
      </w:r>
      <w:r>
        <w:rPr/>
        <w:t>at 11%.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travel</w:t>
      </w:r>
      <w:r>
        <w:rPr>
          <w:spacing w:val="-8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organised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Environment,</w:t>
      </w:r>
      <w:r>
        <w:rPr>
          <w:spacing w:val="-6"/>
        </w:rPr>
        <w:t> </w:t>
      </w:r>
      <w:r>
        <w:rPr/>
        <w:t>Parks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Water</w:t>
      </w:r>
      <w:r>
        <w:rPr>
          <w:spacing w:val="-7"/>
        </w:rPr>
        <w:t> </w:t>
      </w:r>
      <w:r>
        <w:rPr/>
        <w:t>Security and a travel allowance is payable.</w:t>
      </w:r>
    </w:p>
    <w:p>
      <w:pPr>
        <w:pStyle w:val="BodyText"/>
        <w:spacing w:before="1"/>
      </w:pPr>
    </w:p>
    <w:p>
      <w:pPr>
        <w:pStyle w:val="BodyText"/>
        <w:ind w:left="134"/>
      </w:pPr>
      <w:r>
        <w:rPr/>
        <w:t>Successful</w:t>
      </w:r>
      <w:r>
        <w:rPr>
          <w:spacing w:val="-5"/>
        </w:rPr>
        <w:t> </w:t>
      </w:r>
      <w:r>
        <w:rPr/>
        <w:t>candidates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offered</w:t>
      </w:r>
      <w:r>
        <w:rPr>
          <w:spacing w:val="-4"/>
        </w:rPr>
        <w:t> </w:t>
      </w:r>
      <w:r>
        <w:rPr/>
        <w:t>appointment</w:t>
      </w:r>
      <w:r>
        <w:rPr>
          <w:spacing w:val="1"/>
        </w:rPr>
        <w:t> </w:t>
      </w:r>
      <w:r>
        <w:rPr/>
        <w:t>for</w:t>
      </w:r>
      <w:r>
        <w:rPr>
          <w:spacing w:val="-5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>
          <w:spacing w:val="-2"/>
        </w:rPr>
        <w:t>years.</w:t>
      </w:r>
    </w:p>
    <w:p>
      <w:pPr>
        <w:pStyle w:val="BodyText"/>
      </w:pPr>
    </w:p>
    <w:p>
      <w:pPr>
        <w:pStyle w:val="BodyText"/>
        <w:ind w:left="134" w:right="226"/>
      </w:pPr>
      <w:r>
        <w:rPr/>
        <w:t>To</w:t>
      </w:r>
      <w:r>
        <w:rPr>
          <w:spacing w:val="63"/>
        </w:rPr>
        <w:t> </w:t>
      </w:r>
      <w:r>
        <w:rPr/>
        <w:t>nominate</w:t>
      </w:r>
      <w:r>
        <w:rPr>
          <w:spacing w:val="64"/>
        </w:rPr>
        <w:t> </w:t>
      </w:r>
      <w:r>
        <w:rPr/>
        <w:t>please</w:t>
      </w:r>
      <w:r>
        <w:rPr>
          <w:spacing w:val="64"/>
        </w:rPr>
        <w:t> </w:t>
      </w:r>
      <w:r>
        <w:rPr/>
        <w:t>submit</w:t>
      </w:r>
      <w:r>
        <w:rPr>
          <w:spacing w:val="60"/>
        </w:rPr>
        <w:t> </w:t>
      </w:r>
      <w:r>
        <w:rPr/>
        <w:t>an</w:t>
      </w:r>
      <w:r>
        <w:rPr>
          <w:spacing w:val="64"/>
        </w:rPr>
        <w:t> </w:t>
      </w:r>
      <w:r>
        <w:rPr/>
        <w:t>expression</w:t>
      </w:r>
      <w:r>
        <w:rPr>
          <w:spacing w:val="62"/>
        </w:rPr>
        <w:t> </w:t>
      </w:r>
      <w:r>
        <w:rPr/>
        <w:t>of</w:t>
      </w:r>
      <w:r>
        <w:rPr>
          <w:spacing w:val="62"/>
        </w:rPr>
        <w:t> </w:t>
      </w:r>
      <w:r>
        <w:rPr/>
        <w:t>interest,</w:t>
      </w:r>
      <w:r>
        <w:rPr>
          <w:spacing w:val="61"/>
        </w:rPr>
        <w:t> </w:t>
      </w:r>
      <w:r>
        <w:rPr/>
        <w:t>copy</w:t>
      </w:r>
      <w:r>
        <w:rPr>
          <w:spacing w:val="62"/>
        </w:rPr>
        <w:t> </w:t>
      </w:r>
      <w:r>
        <w:rPr/>
        <w:t>of</w:t>
      </w:r>
      <w:r>
        <w:rPr>
          <w:spacing w:val="62"/>
        </w:rPr>
        <w:t> </w:t>
      </w:r>
      <w:r>
        <w:rPr/>
        <w:t>your</w:t>
      </w:r>
      <w:r>
        <w:rPr>
          <w:spacing w:val="62"/>
        </w:rPr>
        <w:t> </w:t>
      </w:r>
      <w:r>
        <w:rPr/>
        <w:t>resume</w:t>
      </w:r>
      <w:r>
        <w:rPr>
          <w:spacing w:val="61"/>
        </w:rPr>
        <w:t> </w:t>
      </w:r>
      <w:r>
        <w:rPr/>
        <w:t>and</w:t>
      </w:r>
      <w:r>
        <w:rPr>
          <w:spacing w:val="61"/>
        </w:rPr>
        <w:t> </w:t>
      </w:r>
      <w:r>
        <w:rPr/>
        <w:t>details</w:t>
      </w:r>
      <w:r>
        <w:rPr>
          <w:spacing w:val="63"/>
        </w:rPr>
        <w:t> </w:t>
      </w:r>
      <w:r>
        <w:rPr/>
        <w:t>of</w:t>
      </w:r>
      <w:r>
        <w:rPr>
          <w:spacing w:val="62"/>
        </w:rPr>
        <w:t> </w:t>
      </w:r>
      <w:r>
        <w:rPr/>
        <w:t>three professional referees to:</w:t>
      </w:r>
    </w:p>
    <w:p>
      <w:pPr>
        <w:pStyle w:val="BodyText"/>
      </w:pPr>
    </w:p>
    <w:p>
      <w:pPr>
        <w:pStyle w:val="BodyText"/>
        <w:ind w:left="134" w:right="4716"/>
      </w:pPr>
      <w:r>
        <w:rPr/>
        <w:t>Executive</w:t>
      </w:r>
      <w:r>
        <w:rPr>
          <w:spacing w:val="-6"/>
        </w:rPr>
        <w:t> </w:t>
      </w:r>
      <w:r>
        <w:rPr/>
        <w:t>Director,</w:t>
      </w:r>
      <w:r>
        <w:rPr>
          <w:spacing w:val="-5"/>
        </w:rPr>
        <w:t> </w:t>
      </w:r>
      <w:r>
        <w:rPr/>
        <w:t>Environment</w:t>
      </w:r>
      <w:r>
        <w:rPr>
          <w:spacing w:val="-9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Policy Department of Environment, Parks and Water Security GPO Box 3675</w:t>
      </w:r>
    </w:p>
    <w:p>
      <w:pPr>
        <w:pStyle w:val="BodyText"/>
        <w:ind w:left="134"/>
      </w:pPr>
      <w:r>
        <w:rPr/>
        <w:t>DARWIN</w:t>
      </w:r>
      <w:r>
        <w:rPr>
          <w:spacing w:val="-4"/>
        </w:rPr>
        <w:t> </w:t>
      </w:r>
      <w:r>
        <w:rPr/>
        <w:t>NT</w:t>
      </w:r>
      <w:r>
        <w:rPr>
          <w:spacing w:val="-1"/>
        </w:rPr>
        <w:t> </w:t>
      </w:r>
      <w:r>
        <w:rPr>
          <w:spacing w:val="-4"/>
        </w:rPr>
        <w:t>0801</w:t>
      </w:r>
    </w:p>
    <w:p>
      <w:pPr>
        <w:pStyle w:val="BodyText"/>
        <w:ind w:left="134" w:right="7139"/>
      </w:pPr>
      <w:r>
        <w:rPr/>
        <w:t>Email: </w:t>
      </w:r>
      <w:hyperlink r:id="rId8">
        <w:r>
          <w:rPr>
            <w:color w:val="0462C1"/>
            <w:u w:val="single" w:color="0462C1"/>
          </w:rPr>
          <w:t>ntepa@nt.gov.au</w:t>
        </w:r>
      </w:hyperlink>
      <w:r>
        <w:rPr>
          <w:color w:val="0462C1"/>
        </w:rPr>
        <w:t> </w:t>
      </w:r>
      <w:r>
        <w:rPr/>
        <w:t>Telephone:</w:t>
      </w:r>
      <w:r>
        <w:rPr>
          <w:spacing w:val="-12"/>
        </w:rPr>
        <w:t> </w:t>
      </w:r>
      <w:r>
        <w:rPr/>
        <w:t>08</w:t>
      </w:r>
      <w:r>
        <w:rPr>
          <w:spacing w:val="-12"/>
        </w:rPr>
        <w:t> </w:t>
      </w:r>
      <w:r>
        <w:rPr/>
        <w:t>8924</w:t>
      </w:r>
      <w:r>
        <w:rPr>
          <w:spacing w:val="-12"/>
        </w:rPr>
        <w:t> </w:t>
      </w:r>
      <w:r>
        <w:rPr/>
        <w:t>4140</w:t>
      </w:r>
    </w:p>
    <w:p>
      <w:pPr>
        <w:pStyle w:val="BodyText"/>
      </w:pPr>
    </w:p>
    <w:p>
      <w:pPr>
        <w:pStyle w:val="BodyText"/>
        <w:ind w:left="134"/>
      </w:pPr>
      <w:r>
        <w:rPr/>
        <w:t>Expressions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January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</w:pPr>
    </w:p>
    <w:p>
      <w:pPr>
        <w:pStyle w:val="BodyText"/>
        <w:ind w:left="134"/>
      </w:pP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NT</w:t>
      </w:r>
      <w:r>
        <w:rPr>
          <w:spacing w:val="-5"/>
        </w:rPr>
        <w:t> </w:t>
      </w:r>
      <w:r>
        <w:rPr/>
        <w:t>EPA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at: </w:t>
      </w:r>
      <w:hyperlink r:id="rId9">
        <w:r>
          <w:rPr>
            <w:color w:val="0462C1"/>
            <w:spacing w:val="-2"/>
            <w:u w:val="single" w:color="0462C1"/>
          </w:rPr>
          <w:t>https://ntepa.nt.gov.au/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504444</wp:posOffset>
                </wp:positionH>
                <wp:positionV relativeFrom="paragraph">
                  <wp:posOffset>97155</wp:posOffset>
                </wp:positionV>
                <wp:extent cx="655320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6350">
                              <a:moveTo>
                                <a:pt x="65529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52946" y="6095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20001pt;margin-top:7.65pt;width:515.98pt;height:.4799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40"/>
      <w:pgMar w:header="0" w:footer="1072" w:top="700" w:bottom="126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  <w:font w:name="Lato Semibold">
    <w:altName w:val="Lato Semibold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491744</wp:posOffset>
              </wp:positionH>
              <wp:positionV relativeFrom="page">
                <wp:posOffset>9871699</wp:posOffset>
              </wp:positionV>
              <wp:extent cx="2850515" cy="3149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5051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Northern</w:t>
                          </w:r>
                          <w:r>
                            <w:rPr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Territory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Environment</w:t>
                          </w:r>
                          <w:r>
                            <w:rPr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Protection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Authority Page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of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2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720001pt;margin-top:777.299194pt;width:224.45pt;height:24.8pt;mso-position-horizontal-relative:page;mso-position-vertical-relative:page;z-index:-1579622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Northern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Territory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Environment</w:t>
                    </w:r>
                    <w:r>
                      <w:rPr>
                        <w:spacing w:val="-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Protection</w:t>
                    </w:r>
                    <w:r>
                      <w:rPr>
                        <w:spacing w:val="-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Authority Page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of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NUMPAGES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2</w:t>
                    </w:r>
                    <w:r>
                      <w:rPr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" w:hAnsi="Lato" w:eastAsia="Lato" w:cs="Lato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34" w:right="2822"/>
    </w:pPr>
    <w:rPr>
      <w:rFonts w:ascii="Lato Semibold" w:hAnsi="Lato Semibold" w:eastAsia="Lato Semibold" w:cs="Lato Semibold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701" w:hanging="361"/>
    </w:pPr>
    <w:rPr>
      <w:rFonts w:ascii="Lato" w:hAnsi="Lato" w:eastAsia="Lato" w:cs="La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cmc.nt.gov.au/supporting-government/boards-and-committees" TargetMode="External"/><Relationship Id="rId8" Type="http://schemas.openxmlformats.org/officeDocument/2006/relationships/hyperlink" Target="mailto:ntepa@nt.gov.au" TargetMode="External"/><Relationship Id="rId9" Type="http://schemas.openxmlformats.org/officeDocument/2006/relationships/hyperlink" Target="https://ntepa.nt.gov.au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Sheau-quim Cham</dc:creator>
  <dc:title>APPLICANT INFORMATION PACKAGE</dc:title>
  <dcterms:created xsi:type="dcterms:W3CDTF">2023-12-12T05:38:21Z</dcterms:created>
  <dcterms:modified xsi:type="dcterms:W3CDTF">2023-12-12T05:38:21Z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2016</vt:lpwstr>
  </property>
</Properties>
</file>